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899B" w14:textId="77777777" w:rsidR="004B0E62" w:rsidRDefault="004B0E62" w:rsidP="00FB13AB">
      <w:pPr>
        <w:jc w:val="center"/>
        <w:rPr>
          <w:b/>
          <w:bCs/>
          <w:sz w:val="24"/>
          <w:szCs w:val="24"/>
        </w:rPr>
      </w:pPr>
    </w:p>
    <w:p w14:paraId="136F8C91" w14:textId="3944C580" w:rsidR="00E44D9C" w:rsidRPr="004B0E62" w:rsidRDefault="000E72AB" w:rsidP="00FB13AB">
      <w:pPr>
        <w:jc w:val="center"/>
        <w:rPr>
          <w:b/>
          <w:bCs/>
          <w:sz w:val="28"/>
          <w:szCs w:val="28"/>
        </w:rPr>
      </w:pPr>
      <w:r w:rsidRPr="004B0E62">
        <w:rPr>
          <w:b/>
          <w:bCs/>
          <w:sz w:val="28"/>
          <w:szCs w:val="28"/>
        </w:rPr>
        <w:t>Guidelines for the management of PSA in patients aged 80 and above.</w:t>
      </w:r>
    </w:p>
    <w:p w14:paraId="2BF809E4" w14:textId="7208CFDA" w:rsidR="000E72AB" w:rsidRPr="004B0E62" w:rsidRDefault="004B0E62" w:rsidP="004B0E62">
      <w:pPr>
        <w:jc w:val="center"/>
        <w:rPr>
          <w:b/>
          <w:bCs/>
          <w:sz w:val="28"/>
          <w:szCs w:val="28"/>
        </w:rPr>
      </w:pPr>
      <w:r w:rsidRPr="004B0E62">
        <w:rPr>
          <w:b/>
          <w:bCs/>
          <w:sz w:val="28"/>
          <w:szCs w:val="28"/>
        </w:rPr>
        <w:t xml:space="preserve">Recommended Guidance </w:t>
      </w:r>
      <w:r w:rsidR="00FB13AB" w:rsidRPr="004B0E62">
        <w:rPr>
          <w:b/>
          <w:bCs/>
          <w:sz w:val="28"/>
          <w:szCs w:val="28"/>
        </w:rPr>
        <w:t>for the East of England Cancer Alliance</w:t>
      </w:r>
    </w:p>
    <w:p w14:paraId="3CF25F74" w14:textId="77777777" w:rsidR="004B0E62" w:rsidRPr="004B0E62" w:rsidRDefault="004B0E62" w:rsidP="004B0E62">
      <w:pPr>
        <w:jc w:val="center"/>
        <w:rPr>
          <w:b/>
          <w:bCs/>
          <w:sz w:val="24"/>
          <w:szCs w:val="24"/>
        </w:rPr>
      </w:pPr>
    </w:p>
    <w:p w14:paraId="4CB08AE9" w14:textId="15CCED82" w:rsidR="000E72AB" w:rsidRPr="004B0E62" w:rsidRDefault="000E72AB" w:rsidP="00FB13AB">
      <w:pPr>
        <w:jc w:val="both"/>
      </w:pPr>
      <w:r w:rsidRPr="004B0E62">
        <w:t xml:space="preserve">The NICE NG12 referral guidance for prostate cancer uses age specific thresholds to inform those who primary care clinicians should refer on a USC pathway. Above 79 years, it advises the </w:t>
      </w:r>
      <w:r w:rsidR="0052135A" w:rsidRPr="004B0E62">
        <w:t>us</w:t>
      </w:r>
      <w:r w:rsidRPr="004B0E62">
        <w:t xml:space="preserve">e of clinical judgement whilst also </w:t>
      </w:r>
      <w:r w:rsidR="00F575BF" w:rsidRPr="004B0E62">
        <w:t>considering</w:t>
      </w:r>
      <w:r w:rsidRPr="004B0E62">
        <w:t xml:space="preserve"> patient preference and co-morbidities.</w:t>
      </w:r>
      <w:r w:rsidR="0052135A" w:rsidRPr="004B0E62">
        <w:t xml:space="preserve"> Local evidence shows that this age group accounts for approximately 12% of prostate USC referrals, though less than 1 in 20 of these will require treatment.</w:t>
      </w:r>
    </w:p>
    <w:p w14:paraId="7D008171" w14:textId="647A86D0" w:rsidR="00033116" w:rsidRPr="004B0E62" w:rsidRDefault="0052135A" w:rsidP="00033116">
      <w:pPr>
        <w:jc w:val="both"/>
      </w:pPr>
      <w:r w:rsidRPr="004B0E62">
        <w:t>Best practice guidelines have just been published by the Academy of Royal Medical Colleges to help primary care clinicians decide whom it is appropriate to investigate and subsequently refer, if needed.</w:t>
      </w:r>
    </w:p>
    <w:p w14:paraId="29E4AD6E" w14:textId="75538472" w:rsidR="00033116" w:rsidRPr="004B0E62" w:rsidRDefault="00033116" w:rsidP="00033116">
      <w:pPr>
        <w:jc w:val="both"/>
      </w:pPr>
      <w:r w:rsidRPr="004B0E62">
        <w:t xml:space="preserve">These recommendations can be accessed </w:t>
      </w:r>
      <w:r w:rsidR="00705A40" w:rsidRPr="004B0E62">
        <w:t>here:</w:t>
      </w:r>
      <w:r w:rsidRPr="004B0E62">
        <w:t xml:space="preserve"> </w:t>
      </w:r>
      <w:hyperlink r:id="rId7" w:history="1">
        <w:r w:rsidRPr="004B0E62">
          <w:rPr>
            <w:rStyle w:val="Hyperlink"/>
          </w:rPr>
          <w:t>https://ebi.aomrc.org.uk/interventions/psa-testing-for-men-aged-80-years-and-above/</w:t>
        </w:r>
      </w:hyperlink>
    </w:p>
    <w:p w14:paraId="200CFC6E" w14:textId="405F350D" w:rsidR="00FB13AB" w:rsidRPr="004B0E62" w:rsidRDefault="00FB13AB" w:rsidP="00033116">
      <w:pPr>
        <w:jc w:val="both"/>
      </w:pPr>
      <w:r w:rsidRPr="004B0E62">
        <w:t xml:space="preserve">These have now been also accepted by </w:t>
      </w:r>
      <w:hyperlink r:id="rId8" w:history="1">
        <w:r w:rsidRPr="004B0E62">
          <w:rPr>
            <w:rStyle w:val="Hyperlink"/>
          </w:rPr>
          <w:t>GIRFT: Prostate cancer</w:t>
        </w:r>
      </w:hyperlink>
      <w:r w:rsidRPr="004B0E62">
        <w:t xml:space="preserve"> and are in the </w:t>
      </w:r>
      <w:hyperlink r:id="rId9" w:history="1">
        <w:r w:rsidRPr="004B0E62">
          <w:rPr>
            <w:rStyle w:val="Hyperlink"/>
          </w:rPr>
          <w:t xml:space="preserve">NICE prostate cancer CKS guidance </w:t>
        </w:r>
      </w:hyperlink>
      <w:r w:rsidRPr="004B0E62">
        <w:t xml:space="preserve"> </w:t>
      </w:r>
    </w:p>
    <w:p w14:paraId="49C90E38" w14:textId="464D95C1" w:rsidR="0052135A" w:rsidRPr="004B0E62" w:rsidRDefault="0052135A" w:rsidP="00FB13AB">
      <w:pPr>
        <w:jc w:val="both"/>
      </w:pPr>
      <w:r w:rsidRPr="004B0E62">
        <w:t>The recommendations, summarized below, are endorsed by the East of England cancer Alliance urology, and we strongly urge their adoption.</w:t>
      </w:r>
    </w:p>
    <w:p w14:paraId="65D85885" w14:textId="4974C646" w:rsidR="0052135A" w:rsidRPr="004B0E62" w:rsidRDefault="0052135A" w:rsidP="003A14B3">
      <w:pPr>
        <w:jc w:val="center"/>
        <w:rPr>
          <w:b/>
          <w:bCs/>
        </w:rPr>
      </w:pPr>
      <w:r w:rsidRPr="004B0E62">
        <w:rPr>
          <w:b/>
          <w:bCs/>
          <w:i/>
          <w:iCs/>
        </w:rPr>
        <w:t xml:space="preserve">Clinical recommendations on </w:t>
      </w:r>
      <w:r w:rsidR="00033116" w:rsidRPr="004B0E62">
        <w:rPr>
          <w:b/>
          <w:bCs/>
          <w:i/>
          <w:iCs/>
        </w:rPr>
        <w:t>who to offer PSA tests in men 80 years and over</w:t>
      </w:r>
    </w:p>
    <w:p w14:paraId="37C8C267" w14:textId="1424816E" w:rsidR="0052135A" w:rsidRPr="004B0E62" w:rsidRDefault="0052135A" w:rsidP="00FB13AB">
      <w:pPr>
        <w:jc w:val="both"/>
      </w:pPr>
      <w:r w:rsidRPr="004B0E62">
        <w:t>1.  In men over 80, PSA testing should be encouraged where there are symptoms suggestive of metastatic prostate cancer (such as bone pain, unintended weight loss and fatigue).</w:t>
      </w:r>
    </w:p>
    <w:p w14:paraId="0016D139" w14:textId="616098CE" w:rsidR="00FB13AB" w:rsidRPr="004B0E62" w:rsidRDefault="0052135A" w:rsidP="00FB13AB">
      <w:pPr>
        <w:jc w:val="both"/>
      </w:pPr>
      <w:r w:rsidRPr="004B0E62">
        <w:t>2. In men over 80 without signs of metastatic disease the benefit of PSA testing is uncertain. A PSA test should only be performed in men who want one after an appropriate shared decision-making process. The potential benefits are greater in those with a life expectancy of more than 10 years.</w:t>
      </w:r>
    </w:p>
    <w:p w14:paraId="7DA26023" w14:textId="2976E4DB" w:rsidR="00705A40" w:rsidRPr="004B0E62" w:rsidRDefault="00FB13AB" w:rsidP="00FB13AB">
      <w:pPr>
        <w:jc w:val="both"/>
      </w:pPr>
      <w:r w:rsidRPr="004B0E62">
        <w:t xml:space="preserve">3. A Rockwood score and/or a Charlson co-morbid score should be done for all patients refereed but is especially important for men over 80y </w:t>
      </w:r>
    </w:p>
    <w:p w14:paraId="7590B840" w14:textId="17B57CB1" w:rsidR="0052135A" w:rsidRPr="004B0E62" w:rsidRDefault="0052135A" w:rsidP="003A14B3">
      <w:pPr>
        <w:jc w:val="center"/>
        <w:rPr>
          <w:b/>
          <w:bCs/>
        </w:rPr>
      </w:pPr>
      <w:r w:rsidRPr="004B0E62">
        <w:rPr>
          <w:b/>
          <w:bCs/>
          <w:i/>
          <w:iCs/>
        </w:rPr>
        <w:t xml:space="preserve">Interpreting </w:t>
      </w:r>
      <w:r w:rsidR="00033116" w:rsidRPr="004B0E62">
        <w:rPr>
          <w:b/>
          <w:bCs/>
          <w:i/>
          <w:iCs/>
        </w:rPr>
        <w:t xml:space="preserve">PSA </w:t>
      </w:r>
      <w:r w:rsidRPr="004B0E62">
        <w:rPr>
          <w:b/>
          <w:bCs/>
          <w:i/>
          <w:iCs/>
        </w:rPr>
        <w:t>test results</w:t>
      </w:r>
      <w:r w:rsidR="00BD1C49" w:rsidRPr="004B0E62">
        <w:rPr>
          <w:b/>
          <w:bCs/>
          <w:i/>
          <w:iCs/>
        </w:rPr>
        <w:t xml:space="preserve"> and referral guidance</w:t>
      </w:r>
      <w:r w:rsidR="00033116" w:rsidRPr="004B0E62">
        <w:rPr>
          <w:b/>
          <w:bCs/>
          <w:i/>
          <w:iCs/>
        </w:rPr>
        <w:t xml:space="preserve"> in men 80 years and over</w:t>
      </w:r>
    </w:p>
    <w:p w14:paraId="7D9FDF54" w14:textId="287D3FB6" w:rsidR="00705A40" w:rsidRPr="004B0E62" w:rsidRDefault="0052135A" w:rsidP="00FB13AB">
      <w:pPr>
        <w:pStyle w:val="ListParagraph"/>
        <w:numPr>
          <w:ilvl w:val="0"/>
          <w:numId w:val="1"/>
        </w:numPr>
        <w:jc w:val="both"/>
      </w:pPr>
      <w:r w:rsidRPr="004B0E62">
        <w:t>For men ≥80 years who have had a PSA test, offer referral via a suspected cancer pathway if:</w:t>
      </w:r>
      <w:r w:rsidR="00BD1C49" w:rsidRPr="004B0E62">
        <w:t xml:space="preserve"> </w:t>
      </w:r>
    </w:p>
    <w:p w14:paraId="49B0474C" w14:textId="6801DF70" w:rsidR="00705A40" w:rsidRPr="004B0E62" w:rsidRDefault="00BD1C49" w:rsidP="00FB13AB">
      <w:pPr>
        <w:pStyle w:val="ListParagraph"/>
        <w:numPr>
          <w:ilvl w:val="0"/>
          <w:numId w:val="2"/>
        </w:numPr>
        <w:jc w:val="both"/>
      </w:pPr>
      <w:r w:rsidRPr="004B0E62">
        <w:t xml:space="preserve">the PSA &gt;20 ng/mL; </w:t>
      </w:r>
    </w:p>
    <w:p w14:paraId="4FC61C0B" w14:textId="4B02B010" w:rsidR="00BD1C49" w:rsidRPr="004B0E62" w:rsidRDefault="00BD1C49" w:rsidP="00FB13AB">
      <w:pPr>
        <w:pStyle w:val="ListParagraph"/>
        <w:numPr>
          <w:ilvl w:val="0"/>
          <w:numId w:val="2"/>
        </w:numPr>
        <w:jc w:val="both"/>
      </w:pPr>
      <w:r w:rsidRPr="004B0E62">
        <w:t>the PSA &gt;7.5 ng/mL AND there are symptoms suggestive of metastatic disease (bone pain and/or fatigue and/or significant unintended weight loss).</w:t>
      </w:r>
    </w:p>
    <w:p w14:paraId="369B632E" w14:textId="77777777" w:rsidR="00705A40" w:rsidRPr="004B0E62" w:rsidRDefault="00705A40" w:rsidP="00FB13AB">
      <w:pPr>
        <w:pStyle w:val="ListParagraph"/>
        <w:jc w:val="both"/>
      </w:pPr>
    </w:p>
    <w:p w14:paraId="4D73FB38" w14:textId="0238A465" w:rsidR="00BD1C49" w:rsidRPr="004B0E62" w:rsidRDefault="00BD1C49" w:rsidP="00FB13AB">
      <w:pPr>
        <w:pStyle w:val="ListParagraph"/>
        <w:numPr>
          <w:ilvl w:val="0"/>
          <w:numId w:val="1"/>
        </w:numPr>
        <w:jc w:val="both"/>
      </w:pPr>
      <w:r w:rsidRPr="004B0E62">
        <w:t>If the initial PSA test is between 7.5 – 20 ng/L and there are no symptoms suggestive of metastatic disease, repeat PSA ONCE after 6 months in primary care, prior to any secondary care referral.</w:t>
      </w:r>
    </w:p>
    <w:p w14:paraId="52077182" w14:textId="77777777" w:rsidR="00705A40" w:rsidRPr="004B0E62" w:rsidRDefault="00705A40" w:rsidP="00FB13AB">
      <w:pPr>
        <w:pStyle w:val="ListParagraph"/>
        <w:ind w:left="360"/>
        <w:jc w:val="both"/>
      </w:pPr>
    </w:p>
    <w:p w14:paraId="197CFB88" w14:textId="39FFC1DA" w:rsidR="00BB31D0" w:rsidRPr="004B0E62" w:rsidRDefault="00BD1C49" w:rsidP="00FB13AB">
      <w:pPr>
        <w:pStyle w:val="ListParagraph"/>
        <w:numPr>
          <w:ilvl w:val="0"/>
          <w:numId w:val="1"/>
        </w:numPr>
        <w:jc w:val="both"/>
      </w:pPr>
      <w:r w:rsidRPr="004B0E62">
        <w:t>When the PSA is repeated, offer referral via the suspected cancer pathway if: either criteria in recommendation </w:t>
      </w:r>
      <w:r w:rsidR="00074FD2" w:rsidRPr="004B0E62">
        <w:rPr>
          <w:i/>
          <w:iCs/>
        </w:rPr>
        <w:t>1</w:t>
      </w:r>
      <w:r w:rsidRPr="004B0E62">
        <w:t> being met; OR</w:t>
      </w:r>
      <w:r w:rsidRPr="004B0E62">
        <w:rPr>
          <w:b/>
          <w:bCs/>
        </w:rPr>
        <w:t xml:space="preserve"> </w:t>
      </w:r>
      <w:r w:rsidRPr="004B0E62">
        <w:t xml:space="preserve">PSA has increased significantly (more than doubled), and the patient has a </w:t>
      </w:r>
      <w:r w:rsidR="004F4C51" w:rsidRPr="004B0E62">
        <w:t>Rockwood score of 1 to 3.</w:t>
      </w:r>
    </w:p>
    <w:p w14:paraId="23BC9526" w14:textId="77777777" w:rsidR="00FB13AB" w:rsidRPr="004B0E62" w:rsidRDefault="00FB13AB" w:rsidP="00FB13AB">
      <w:pPr>
        <w:pStyle w:val="ListParagraph"/>
        <w:ind w:left="360"/>
        <w:jc w:val="both"/>
      </w:pPr>
    </w:p>
    <w:p w14:paraId="69BB5A89" w14:textId="156E746A" w:rsidR="0052135A" w:rsidRPr="004B0E62" w:rsidRDefault="00BD1C49" w:rsidP="003A14B3">
      <w:pPr>
        <w:jc w:val="center"/>
        <w:rPr>
          <w:sz w:val="28"/>
          <w:szCs w:val="28"/>
        </w:rPr>
      </w:pPr>
      <w:r w:rsidRPr="004B0E62">
        <w:rPr>
          <w:b/>
          <w:sz w:val="28"/>
          <w:szCs w:val="28"/>
        </w:rPr>
        <w:t>If patients do not fit the above criteria but concerns remain, seek appropriate support via ‘advice and guidance’.</w:t>
      </w:r>
    </w:p>
    <w:sectPr w:rsidR="0052135A" w:rsidRPr="004B0E62" w:rsidSect="004B0E62">
      <w:headerReference w:type="default" r:id="rId10"/>
      <w:footerReference w:type="default" r:id="rId11"/>
      <w:pgSz w:w="11906" w:h="16838"/>
      <w:pgMar w:top="720" w:right="720" w:bottom="720" w:left="720"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E337" w14:textId="77777777" w:rsidR="00BA7833" w:rsidRDefault="00BA7833" w:rsidP="004B0E62">
      <w:pPr>
        <w:spacing w:after="0" w:line="240" w:lineRule="auto"/>
      </w:pPr>
      <w:r>
        <w:separator/>
      </w:r>
    </w:p>
  </w:endnote>
  <w:endnote w:type="continuationSeparator" w:id="0">
    <w:p w14:paraId="5BAB021A" w14:textId="77777777" w:rsidR="00BA7833" w:rsidRDefault="00BA7833" w:rsidP="004B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7C48" w14:textId="7FF0B90E" w:rsidR="004B0E62" w:rsidRPr="004B0E62" w:rsidRDefault="004B0E62" w:rsidP="004B0E62">
    <w:pPr>
      <w:pStyle w:val="Header"/>
      <w:rPr>
        <w:color w:val="262626" w:themeColor="text1" w:themeTint="D9"/>
      </w:rPr>
    </w:pPr>
    <w:r w:rsidRPr="004B0E62">
      <w:rPr>
        <w:color w:val="262626" w:themeColor="text1" w:themeTint="D9"/>
      </w:rPr>
      <w:t>EoE PSA guidance in aged 80 &amp; above agreed June 1</w:t>
    </w:r>
    <w:r w:rsidRPr="004B0E62">
      <w:rPr>
        <w:color w:val="262626" w:themeColor="text1" w:themeTint="D9"/>
        <w:vertAlign w:val="superscript"/>
      </w:rPr>
      <w:t>st</w:t>
    </w:r>
    <w:r w:rsidRPr="004B0E62">
      <w:rPr>
        <w:color w:val="262626" w:themeColor="text1" w:themeTint="D9"/>
      </w:rPr>
      <w:t>, 2025</w:t>
    </w:r>
  </w:p>
  <w:p w14:paraId="24957499" w14:textId="2CB756B7" w:rsidR="004B0E62" w:rsidRPr="004B0E62" w:rsidRDefault="004B0E62" w:rsidP="004B0E62">
    <w:pPr>
      <w:pStyle w:val="Header"/>
      <w:rPr>
        <w:color w:val="262626" w:themeColor="text1" w:themeTint="D9"/>
      </w:rPr>
    </w:pPr>
    <w:r w:rsidRPr="004B0E62">
      <w:rPr>
        <w:color w:val="262626" w:themeColor="text1" w:themeTint="D9"/>
      </w:rPr>
      <w:t>Agreement through EoE Clinical Leadership Group</w:t>
    </w:r>
  </w:p>
  <w:p w14:paraId="70142BE4" w14:textId="77777777" w:rsidR="004B0E62" w:rsidRPr="004B0E62" w:rsidRDefault="004B0E62" w:rsidP="004B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2E3D" w14:textId="77777777" w:rsidR="00BA7833" w:rsidRDefault="00BA7833" w:rsidP="004B0E62">
      <w:pPr>
        <w:spacing w:after="0" w:line="240" w:lineRule="auto"/>
      </w:pPr>
      <w:r>
        <w:separator/>
      </w:r>
    </w:p>
  </w:footnote>
  <w:footnote w:type="continuationSeparator" w:id="0">
    <w:p w14:paraId="25C8C7C8" w14:textId="77777777" w:rsidR="00BA7833" w:rsidRDefault="00BA7833" w:rsidP="004B0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E04D" w14:textId="50F845D2" w:rsidR="004B0E62" w:rsidRDefault="004B0E62">
    <w:pPr>
      <w:pStyle w:val="Header"/>
    </w:pPr>
    <w:r w:rsidRPr="004B0E62">
      <w:rPr>
        <w:rFonts w:ascii="Times New Roman" w:eastAsia="Calibri" w:hAnsi="Calibri" w:cs="Times New Roman"/>
        <w:noProof/>
        <w:color w:val="404040" w:themeColor="text1" w:themeTint="BF"/>
        <w:sz w:val="20"/>
        <w:lang w:eastAsia="en-GB"/>
      </w:rPr>
      <w:drawing>
        <wp:anchor distT="0" distB="0" distL="114300" distR="114300" simplePos="0" relativeHeight="251659264" behindDoc="1" locked="0" layoutInCell="1" allowOverlap="1" wp14:anchorId="5F9B6D51" wp14:editId="73CE6482">
          <wp:simplePos x="0" y="0"/>
          <wp:positionH relativeFrom="margin">
            <wp:align>right</wp:align>
          </wp:positionH>
          <wp:positionV relativeFrom="paragraph">
            <wp:posOffset>-332740</wp:posOffset>
          </wp:positionV>
          <wp:extent cx="1421130" cy="452755"/>
          <wp:effectExtent l="0" t="0" r="7620" b="4445"/>
          <wp:wrapTight wrapText="bothSides">
            <wp:wrapPolygon edited="0">
              <wp:start x="0" y="0"/>
              <wp:lineTo x="0" y="20903"/>
              <wp:lineTo x="21426" y="20903"/>
              <wp:lineTo x="21426" y="0"/>
              <wp:lineTo x="0" y="0"/>
            </wp:wrapPolygon>
          </wp:wrapTight>
          <wp:docPr id="2"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1130" cy="452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789A"/>
    <w:multiLevelType w:val="hybridMultilevel"/>
    <w:tmpl w:val="D082C5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0D2299"/>
    <w:multiLevelType w:val="hybridMultilevel"/>
    <w:tmpl w:val="73CA91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95" w:hanging="360"/>
      </w:pPr>
    </w:lvl>
    <w:lvl w:ilvl="2" w:tplc="0809001B" w:tentative="1">
      <w:start w:val="1"/>
      <w:numFmt w:val="lowerRoman"/>
      <w:lvlText w:val="%3."/>
      <w:lvlJc w:val="right"/>
      <w:pPr>
        <w:ind w:left="525" w:hanging="180"/>
      </w:pPr>
    </w:lvl>
    <w:lvl w:ilvl="3" w:tplc="0809000F" w:tentative="1">
      <w:start w:val="1"/>
      <w:numFmt w:val="decimal"/>
      <w:lvlText w:val="%4."/>
      <w:lvlJc w:val="left"/>
      <w:pPr>
        <w:ind w:left="1245" w:hanging="360"/>
      </w:pPr>
    </w:lvl>
    <w:lvl w:ilvl="4" w:tplc="08090019" w:tentative="1">
      <w:start w:val="1"/>
      <w:numFmt w:val="lowerLetter"/>
      <w:lvlText w:val="%5."/>
      <w:lvlJc w:val="left"/>
      <w:pPr>
        <w:ind w:left="1965" w:hanging="360"/>
      </w:pPr>
    </w:lvl>
    <w:lvl w:ilvl="5" w:tplc="0809001B" w:tentative="1">
      <w:start w:val="1"/>
      <w:numFmt w:val="lowerRoman"/>
      <w:lvlText w:val="%6."/>
      <w:lvlJc w:val="right"/>
      <w:pPr>
        <w:ind w:left="2685" w:hanging="180"/>
      </w:pPr>
    </w:lvl>
    <w:lvl w:ilvl="6" w:tplc="0809000F" w:tentative="1">
      <w:start w:val="1"/>
      <w:numFmt w:val="decimal"/>
      <w:lvlText w:val="%7."/>
      <w:lvlJc w:val="left"/>
      <w:pPr>
        <w:ind w:left="3405" w:hanging="360"/>
      </w:pPr>
    </w:lvl>
    <w:lvl w:ilvl="7" w:tplc="08090019" w:tentative="1">
      <w:start w:val="1"/>
      <w:numFmt w:val="lowerLetter"/>
      <w:lvlText w:val="%8."/>
      <w:lvlJc w:val="left"/>
      <w:pPr>
        <w:ind w:left="4125" w:hanging="360"/>
      </w:pPr>
    </w:lvl>
    <w:lvl w:ilvl="8" w:tplc="0809001B" w:tentative="1">
      <w:start w:val="1"/>
      <w:numFmt w:val="lowerRoman"/>
      <w:lvlText w:val="%9."/>
      <w:lvlJc w:val="right"/>
      <w:pPr>
        <w:ind w:left="4845" w:hanging="180"/>
      </w:pPr>
    </w:lvl>
  </w:abstractNum>
  <w:num w:numId="1" w16cid:durableId="1260874928">
    <w:abstractNumId w:val="1"/>
  </w:num>
  <w:num w:numId="2" w16cid:durableId="72799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AB"/>
    <w:rsid w:val="00004DCF"/>
    <w:rsid w:val="00010889"/>
    <w:rsid w:val="00033116"/>
    <w:rsid w:val="00037A17"/>
    <w:rsid w:val="0006462E"/>
    <w:rsid w:val="00074FD2"/>
    <w:rsid w:val="000E72AB"/>
    <w:rsid w:val="003A14B3"/>
    <w:rsid w:val="004B0E62"/>
    <w:rsid w:val="004F4C51"/>
    <w:rsid w:val="0052135A"/>
    <w:rsid w:val="00595296"/>
    <w:rsid w:val="00705A40"/>
    <w:rsid w:val="008018A6"/>
    <w:rsid w:val="009B17FE"/>
    <w:rsid w:val="00B77D5B"/>
    <w:rsid w:val="00BA7833"/>
    <w:rsid w:val="00BB31D0"/>
    <w:rsid w:val="00BD1C49"/>
    <w:rsid w:val="00D04C14"/>
    <w:rsid w:val="00E44D9C"/>
    <w:rsid w:val="00F575BF"/>
    <w:rsid w:val="00FB1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C85D"/>
  <w15:chartTrackingRefBased/>
  <w15:docId w15:val="{80921FDE-FFBE-4334-BCA1-D17C0822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C49"/>
  </w:style>
  <w:style w:type="paragraph" w:styleId="Heading1">
    <w:name w:val="heading 1"/>
    <w:basedOn w:val="Normal"/>
    <w:next w:val="Normal"/>
    <w:link w:val="Heading1Char"/>
    <w:uiPriority w:val="9"/>
    <w:qFormat/>
    <w:rsid w:val="000E7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2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2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2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2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2AB"/>
    <w:rPr>
      <w:rFonts w:eastAsiaTheme="majorEastAsia" w:cstheme="majorBidi"/>
      <w:color w:val="272727" w:themeColor="text1" w:themeTint="D8"/>
    </w:rPr>
  </w:style>
  <w:style w:type="paragraph" w:styleId="Title">
    <w:name w:val="Title"/>
    <w:basedOn w:val="Normal"/>
    <w:next w:val="Normal"/>
    <w:link w:val="TitleChar"/>
    <w:uiPriority w:val="10"/>
    <w:qFormat/>
    <w:rsid w:val="000E7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2AB"/>
    <w:pPr>
      <w:spacing w:before="160"/>
      <w:jc w:val="center"/>
    </w:pPr>
    <w:rPr>
      <w:i/>
      <w:iCs/>
      <w:color w:val="404040" w:themeColor="text1" w:themeTint="BF"/>
    </w:rPr>
  </w:style>
  <w:style w:type="character" w:customStyle="1" w:styleId="QuoteChar">
    <w:name w:val="Quote Char"/>
    <w:basedOn w:val="DefaultParagraphFont"/>
    <w:link w:val="Quote"/>
    <w:uiPriority w:val="29"/>
    <w:rsid w:val="000E72AB"/>
    <w:rPr>
      <w:i/>
      <w:iCs/>
      <w:color w:val="404040" w:themeColor="text1" w:themeTint="BF"/>
    </w:rPr>
  </w:style>
  <w:style w:type="paragraph" w:styleId="ListParagraph">
    <w:name w:val="List Paragraph"/>
    <w:basedOn w:val="Normal"/>
    <w:uiPriority w:val="34"/>
    <w:qFormat/>
    <w:rsid w:val="000E72AB"/>
    <w:pPr>
      <w:ind w:left="720"/>
      <w:contextualSpacing/>
    </w:pPr>
  </w:style>
  <w:style w:type="character" w:styleId="IntenseEmphasis">
    <w:name w:val="Intense Emphasis"/>
    <w:basedOn w:val="DefaultParagraphFont"/>
    <w:uiPriority w:val="21"/>
    <w:qFormat/>
    <w:rsid w:val="000E72AB"/>
    <w:rPr>
      <w:i/>
      <w:iCs/>
      <w:color w:val="0F4761" w:themeColor="accent1" w:themeShade="BF"/>
    </w:rPr>
  </w:style>
  <w:style w:type="paragraph" w:styleId="IntenseQuote">
    <w:name w:val="Intense Quote"/>
    <w:basedOn w:val="Normal"/>
    <w:next w:val="Normal"/>
    <w:link w:val="IntenseQuoteChar"/>
    <w:uiPriority w:val="30"/>
    <w:qFormat/>
    <w:rsid w:val="000E7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2AB"/>
    <w:rPr>
      <w:i/>
      <w:iCs/>
      <w:color w:val="0F4761" w:themeColor="accent1" w:themeShade="BF"/>
    </w:rPr>
  </w:style>
  <w:style w:type="character" w:styleId="IntenseReference">
    <w:name w:val="Intense Reference"/>
    <w:basedOn w:val="DefaultParagraphFont"/>
    <w:uiPriority w:val="32"/>
    <w:qFormat/>
    <w:rsid w:val="000E72AB"/>
    <w:rPr>
      <w:b/>
      <w:bCs/>
      <w:smallCaps/>
      <w:color w:val="0F4761" w:themeColor="accent1" w:themeShade="BF"/>
      <w:spacing w:val="5"/>
    </w:rPr>
  </w:style>
  <w:style w:type="paragraph" w:styleId="BalloonText">
    <w:name w:val="Balloon Text"/>
    <w:basedOn w:val="Normal"/>
    <w:link w:val="BalloonTextChar"/>
    <w:uiPriority w:val="99"/>
    <w:semiHidden/>
    <w:unhideWhenUsed/>
    <w:rsid w:val="0003311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3116"/>
    <w:rPr>
      <w:rFonts w:ascii="Times New Roman" w:hAnsi="Times New Roman" w:cs="Times New Roman"/>
      <w:sz w:val="18"/>
      <w:szCs w:val="18"/>
    </w:rPr>
  </w:style>
  <w:style w:type="character" w:styleId="Hyperlink">
    <w:name w:val="Hyperlink"/>
    <w:basedOn w:val="DefaultParagraphFont"/>
    <w:uiPriority w:val="99"/>
    <w:unhideWhenUsed/>
    <w:rsid w:val="00033116"/>
    <w:rPr>
      <w:color w:val="467886" w:themeColor="hyperlink"/>
      <w:u w:val="single"/>
    </w:rPr>
  </w:style>
  <w:style w:type="character" w:styleId="UnresolvedMention">
    <w:name w:val="Unresolved Mention"/>
    <w:basedOn w:val="DefaultParagraphFont"/>
    <w:uiPriority w:val="99"/>
    <w:semiHidden/>
    <w:unhideWhenUsed/>
    <w:rsid w:val="00033116"/>
    <w:rPr>
      <w:color w:val="605E5C"/>
      <w:shd w:val="clear" w:color="auto" w:fill="E1DFDD"/>
    </w:rPr>
  </w:style>
  <w:style w:type="paragraph" w:styleId="Header">
    <w:name w:val="header"/>
    <w:basedOn w:val="Normal"/>
    <w:link w:val="HeaderChar"/>
    <w:uiPriority w:val="99"/>
    <w:unhideWhenUsed/>
    <w:rsid w:val="004B0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E62"/>
  </w:style>
  <w:style w:type="paragraph" w:styleId="Footer">
    <w:name w:val="footer"/>
    <w:basedOn w:val="Normal"/>
    <w:link w:val="FooterChar"/>
    <w:uiPriority w:val="99"/>
    <w:unhideWhenUsed/>
    <w:rsid w:val="004B0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9686">
      <w:bodyDiv w:val="1"/>
      <w:marLeft w:val="0"/>
      <w:marRight w:val="0"/>
      <w:marTop w:val="0"/>
      <w:marBottom w:val="0"/>
      <w:divBdr>
        <w:top w:val="none" w:sz="0" w:space="0" w:color="auto"/>
        <w:left w:val="none" w:sz="0" w:space="0" w:color="auto"/>
        <w:bottom w:val="none" w:sz="0" w:space="0" w:color="auto"/>
        <w:right w:val="none" w:sz="0" w:space="0" w:color="auto"/>
      </w:divBdr>
    </w:div>
    <w:div w:id="1136601202">
      <w:bodyDiv w:val="1"/>
      <w:marLeft w:val="0"/>
      <w:marRight w:val="0"/>
      <w:marTop w:val="0"/>
      <w:marBottom w:val="0"/>
      <w:divBdr>
        <w:top w:val="none" w:sz="0" w:space="0" w:color="auto"/>
        <w:left w:val="none" w:sz="0" w:space="0" w:color="auto"/>
        <w:bottom w:val="none" w:sz="0" w:space="0" w:color="auto"/>
        <w:right w:val="none" w:sz="0" w:space="0" w:color="auto"/>
      </w:divBdr>
    </w:div>
    <w:div w:id="136937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tingitrightfirsttime.co.uk/girft-guidance-aims-to-improve-diagnosis-and-treatment-times-for-men-with-suspected-prostate-canc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bi.aomrc.org.uk/interventions/psa-testing-for-men-aged-80-years-and-above/"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ks.nice.org.uk/topics/prostate-cancer/diagnosis/assessment/"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4BD2F22988B45B921259E3F21DAC4" ma:contentTypeVersion="14" ma:contentTypeDescription="Create a new document." ma:contentTypeScope="" ma:versionID="909f0fa44849b2dc23df3ad73ff1892f">
  <xsd:schema xmlns:xsd="http://www.w3.org/2001/XMLSchema" xmlns:xs="http://www.w3.org/2001/XMLSchema" xmlns:p="http://schemas.microsoft.com/office/2006/metadata/properties" xmlns:ns2="ac48b965-cda5-4f2b-8741-e5b67d41546a" xmlns:ns3="916e71ed-7298-4838-8ba5-989d7c3f81d6" targetNamespace="http://schemas.microsoft.com/office/2006/metadata/properties" ma:root="true" ma:fieldsID="f7d34b5fd3469c3af1875c1bebefab76" ns2:_="" ns3:_="">
    <xsd:import namespace="ac48b965-cda5-4f2b-8741-e5b67d41546a"/>
    <xsd:import namespace="916e71ed-7298-4838-8ba5-989d7c3f81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8b965-cda5-4f2b-8741-e5b67d415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e71ed-7298-4838-8ba5-989d7c3f81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3d5871-676d-4621-8ce3-1162027f0411}" ma:internalName="TaxCatchAll" ma:showField="CatchAllData" ma:web="916e71ed-7298-4838-8ba5-989d7c3f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48b965-cda5-4f2b-8741-e5b67d41546a">
      <Terms xmlns="http://schemas.microsoft.com/office/infopath/2007/PartnerControls"/>
    </lcf76f155ced4ddcb4097134ff3c332f>
    <TaxCatchAll xmlns="916e71ed-7298-4838-8ba5-989d7c3f81d6" xsi:nil="true"/>
  </documentManagement>
</p:properties>
</file>

<file path=customXml/itemProps1.xml><?xml version="1.0" encoding="utf-8"?>
<ds:datastoreItem xmlns:ds="http://schemas.openxmlformats.org/officeDocument/2006/customXml" ds:itemID="{0AD66F1C-273B-4FC5-81CC-09DA4518D5AE}"/>
</file>

<file path=customXml/itemProps2.xml><?xml version="1.0" encoding="utf-8"?>
<ds:datastoreItem xmlns:ds="http://schemas.openxmlformats.org/officeDocument/2006/customXml" ds:itemID="{AD767FE6-2D68-4068-BAC3-CA3D307F789C}"/>
</file>

<file path=customXml/itemProps3.xml><?xml version="1.0" encoding="utf-8"?>
<ds:datastoreItem xmlns:ds="http://schemas.openxmlformats.org/officeDocument/2006/customXml" ds:itemID="{9E74496F-0008-4907-8DBB-5153FD289B22}"/>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446</Words>
  <Characters>2599</Characters>
  <Application>Microsoft Office Word</Application>
  <DocSecurity>0</DocSecurity>
  <Lines>236</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HOLLOWAY, Peter (MENDLESHAM MEDICAL GROUP)</dc:creator>
  <cp:keywords/>
  <dc:description/>
  <cp:lastModifiedBy>MELESI, Virginia (NHS CAMBRIDGESHIRE AND PETERBOROUGH ICB - 06H)</cp:lastModifiedBy>
  <cp:revision>2</cp:revision>
  <dcterms:created xsi:type="dcterms:W3CDTF">2025-07-08T06:53:00Z</dcterms:created>
  <dcterms:modified xsi:type="dcterms:W3CDTF">2025-07-08T06:53:00Z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0x0101009684BD2F22988B45B921259E3F21DAC4</vt:lpwstr>
  </property>
</Properties>
</file>